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15594" w14:textId="77777777" w:rsidR="005319D1" w:rsidRDefault="005319D1">
      <w:pPr>
        <w:spacing w:line="560" w:lineRule="exact"/>
        <w:jc w:val="left"/>
        <w:rPr>
          <w:rFonts w:ascii="Times New Roman" w:eastAsia="方正黑体_GBK" w:hAnsi="Times New Roman" w:cs="Times New Roman"/>
          <w:bCs/>
          <w:szCs w:val="32"/>
        </w:rPr>
      </w:pPr>
    </w:p>
    <w:p w14:paraId="0A5CC8B0" w14:textId="77777777" w:rsidR="005319D1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度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天津市教育工作重点调研课题指南</w:t>
      </w:r>
    </w:p>
    <w:p w14:paraId="248BCB13" w14:textId="77777777" w:rsidR="005319D1" w:rsidRDefault="005319D1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1FA6827" w14:textId="77777777" w:rsidR="005319D1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一、教育综合</w:t>
      </w:r>
    </w:p>
    <w:p w14:paraId="1E7A6840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关于高校师生思想政治状况的调查研究</w:t>
      </w:r>
    </w:p>
    <w:p w14:paraId="58FE2F0C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关于高校意识形态斗争样态与风险治理研究</w:t>
      </w:r>
    </w:p>
    <w:p w14:paraId="2A5FCA5C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关于红色文化传承与发展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37E2ED96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关于培育和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践行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社会主义核心价值观研究</w:t>
      </w:r>
    </w:p>
    <w:p w14:paraId="17C155E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关于校园媒体融合发展的探索与实践研究</w:t>
      </w:r>
    </w:p>
    <w:p w14:paraId="6F087007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关于加强高校国际传播能力建设研究</w:t>
      </w:r>
    </w:p>
    <w:p w14:paraId="31BEADD6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关于增强院系党组织功能研究</w:t>
      </w:r>
    </w:p>
    <w:p w14:paraId="7B1FB6CB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关于职业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院校党建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工作协同配合机制研究</w:t>
      </w:r>
    </w:p>
    <w:p w14:paraId="0AB4719A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关于大中小学党建共建机制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4776CB21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关于高校专职组织员队伍建设研究</w:t>
      </w:r>
    </w:p>
    <w:p w14:paraId="335B94F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sz w:val="32"/>
          <w:szCs w:val="32"/>
        </w:rPr>
        <w:t>关于校外培训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机构党建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工作体制机制研究</w:t>
      </w:r>
    </w:p>
    <w:p w14:paraId="5B6DC73A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马克思主义</w:t>
      </w:r>
      <w:r>
        <w:rPr>
          <w:rFonts w:ascii="Times New Roman" w:eastAsia="仿宋_GB2312" w:hAnsi="Times New Roman" w:cs="Times New Roman"/>
          <w:sz w:val="32"/>
          <w:szCs w:val="32"/>
        </w:rPr>
        <w:t>政治人才培养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工程实施成效的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1D80E89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思政教师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退出机制的实践研究</w:t>
      </w:r>
    </w:p>
    <w:p w14:paraId="7566DD1C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关于发挥学校心理辅导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室作用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的研究</w:t>
      </w:r>
    </w:p>
    <w:p w14:paraId="063D8498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培养</w:t>
      </w:r>
      <w:r>
        <w:rPr>
          <w:rFonts w:ascii="Times New Roman" w:eastAsia="仿宋_GB2312" w:hAnsi="Times New Roman" w:cs="Times New Roman"/>
          <w:sz w:val="32"/>
          <w:szCs w:val="32"/>
        </w:rPr>
        <w:t>教育家精神的天津实践研究</w:t>
      </w:r>
    </w:p>
    <w:p w14:paraId="011473CB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sz w:val="32"/>
          <w:szCs w:val="32"/>
        </w:rPr>
        <w:t>关于缓解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当下中小学</w:t>
      </w:r>
      <w:r>
        <w:rPr>
          <w:rFonts w:ascii="Times New Roman" w:eastAsia="仿宋_GB2312" w:hAnsi="Times New Roman" w:cs="Times New Roman"/>
          <w:sz w:val="32"/>
          <w:szCs w:val="32"/>
        </w:rPr>
        <w:t>教师阶段性紧张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的对策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08AAEB8C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关于中小学教师职称学校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自主评审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”制度机制的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201B0133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sz w:val="32"/>
          <w:szCs w:val="32"/>
        </w:rPr>
        <w:t>关于优化教师交流轮岗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机制的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4709CE5E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20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</w:t>
      </w:r>
      <w:r>
        <w:rPr>
          <w:rFonts w:ascii="Times New Roman" w:eastAsia="仿宋_GB2312" w:hAnsi="Times New Roman" w:cs="Times New Roman"/>
          <w:sz w:val="32"/>
          <w:szCs w:val="32"/>
        </w:rPr>
        <w:t>教育数字化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的战略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5E3EBD4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关于提升教师</w:t>
      </w:r>
      <w:r>
        <w:rPr>
          <w:rFonts w:ascii="Times New Roman" w:eastAsia="仿宋_GB2312" w:hAnsi="Times New Roman" w:cs="Times New Roman"/>
          <w:sz w:val="32"/>
          <w:szCs w:val="32"/>
        </w:rPr>
        <w:t>数字素养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的对策研究</w:t>
      </w:r>
    </w:p>
    <w:p w14:paraId="27EF6BB0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关于提升教育大安全治理能力研究</w:t>
      </w:r>
    </w:p>
    <w:p w14:paraId="27030931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</w:t>
      </w:r>
      <w:r>
        <w:rPr>
          <w:rFonts w:ascii="Times New Roman" w:eastAsia="仿宋_GB2312" w:hAnsi="Times New Roman" w:cs="Times New Roman"/>
          <w:sz w:val="32"/>
          <w:szCs w:val="32"/>
        </w:rPr>
        <w:t>推进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留学天津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品牌建设</w:t>
      </w:r>
    </w:p>
    <w:p w14:paraId="3A8476DE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关于加强高校档案管理的研究</w:t>
      </w:r>
    </w:p>
    <w:p w14:paraId="06D0E2DE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关于促进我市</w:t>
      </w:r>
      <w:r>
        <w:rPr>
          <w:rFonts w:ascii="Times New Roman" w:eastAsia="仿宋_GB2312" w:hAnsi="Times New Roman" w:cs="Times New Roman"/>
          <w:sz w:val="32"/>
          <w:szCs w:val="32"/>
        </w:rPr>
        <w:t>国际中文教育特色发展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的研究</w:t>
      </w:r>
    </w:p>
    <w:p w14:paraId="169C0550" w14:textId="77777777" w:rsidR="005319D1" w:rsidRDefault="00000000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二、基础教育</w:t>
      </w:r>
    </w:p>
    <w:p w14:paraId="7A849D69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关于我市学前教育高质量幼儿游戏实践研究</w:t>
      </w:r>
    </w:p>
    <w:p w14:paraId="4C97ACB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关于建立</w:t>
      </w:r>
      <w:r>
        <w:rPr>
          <w:rFonts w:ascii="Times New Roman" w:eastAsia="仿宋_GB2312" w:hAnsi="Times New Roman" w:cs="Times New Roman"/>
          <w:sz w:val="32"/>
          <w:szCs w:val="32"/>
        </w:rPr>
        <w:t>拔尖创新人才早期发现与培养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机制的研究</w:t>
      </w:r>
    </w:p>
    <w:p w14:paraId="71C903B3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关于学龄人口变化下的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基础教育</w:t>
      </w:r>
      <w:r>
        <w:rPr>
          <w:rFonts w:ascii="Times New Roman" w:eastAsia="仿宋_GB2312" w:hAnsi="Times New Roman" w:cs="Times New Roman"/>
          <w:sz w:val="32"/>
          <w:szCs w:val="32"/>
        </w:rPr>
        <w:t>师资配置研究</w:t>
      </w:r>
    </w:p>
    <w:p w14:paraId="479FDE77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推进紧密型</w:t>
      </w:r>
      <w:r>
        <w:rPr>
          <w:rFonts w:ascii="Times New Roman" w:eastAsia="仿宋_GB2312" w:hAnsi="Times New Roman" w:cs="Times New Roman"/>
          <w:sz w:val="32"/>
          <w:szCs w:val="32"/>
        </w:rPr>
        <w:t>集团化办学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的制度机制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5B265F8F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</w:t>
      </w:r>
      <w:r>
        <w:rPr>
          <w:rFonts w:ascii="Times New Roman" w:eastAsia="仿宋_GB2312" w:hAnsi="Times New Roman" w:cs="Times New Roman"/>
          <w:sz w:val="32"/>
          <w:szCs w:val="32"/>
        </w:rPr>
        <w:t>加强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中小学</w:t>
      </w:r>
      <w:r>
        <w:rPr>
          <w:rFonts w:ascii="Times New Roman" w:eastAsia="仿宋_GB2312" w:hAnsi="Times New Roman" w:cs="Times New Roman"/>
          <w:sz w:val="32"/>
          <w:szCs w:val="32"/>
        </w:rPr>
        <w:t>教师聘后管理和绩效工资差异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化分配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的研究</w:t>
      </w:r>
    </w:p>
    <w:p w14:paraId="6A2CD31A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>
        <w:rPr>
          <w:rFonts w:ascii="Times New Roman" w:eastAsia="仿宋_GB2312" w:hAnsi="Times New Roman" w:cs="Times New Roman"/>
          <w:sz w:val="32"/>
          <w:szCs w:val="32"/>
        </w:rPr>
        <w:t>综合高中的配套政策研究</w:t>
      </w:r>
    </w:p>
    <w:p w14:paraId="54AB8AB3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关于校外培训机构风险防范研究</w:t>
      </w:r>
    </w:p>
    <w:p w14:paraId="53F4D157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关于中小学科学教育体系研究</w:t>
      </w:r>
    </w:p>
    <w:p w14:paraId="720FC80D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关于提升学生体质健康水平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627A859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关于普通高中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强校工程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建设的实践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11630CC8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背景下课堂提质增效研究</w:t>
      </w:r>
    </w:p>
    <w:p w14:paraId="1FEE06DC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sz w:val="32"/>
          <w:szCs w:val="32"/>
        </w:rPr>
        <w:t>关于优化中小学课后服务研究</w:t>
      </w:r>
    </w:p>
    <w:p w14:paraId="0989F43A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sz w:val="32"/>
          <w:szCs w:val="32"/>
        </w:rPr>
        <w:t>关于学生综合素质评价结果应用研究</w:t>
      </w:r>
    </w:p>
    <w:p w14:paraId="0C6B016E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sz w:val="32"/>
          <w:szCs w:val="32"/>
        </w:rPr>
        <w:t>关于学校美育与社会美育融合机制研究</w:t>
      </w:r>
    </w:p>
    <w:p w14:paraId="0022A0D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sz w:val="32"/>
          <w:szCs w:val="32"/>
        </w:rPr>
        <w:t>关于推动特殊教育高质量融合发展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的研究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B80532F" w14:textId="77777777" w:rsidR="005319D1" w:rsidRDefault="00000000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三、职业教育</w:t>
      </w:r>
    </w:p>
    <w:p w14:paraId="15040313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关于产教联合体建设成效监测与评估研究</w:t>
      </w:r>
    </w:p>
    <w:p w14:paraId="55F6BF53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关于产教融合共同体建设成效监测与评估研究</w:t>
      </w:r>
    </w:p>
    <w:p w14:paraId="7616C1AB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关于中职高职贯通式系统培养研究</w:t>
      </w:r>
    </w:p>
    <w:p w14:paraId="6210BA40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一带一路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视域下提升鲁班工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坊建设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内涵研究</w:t>
      </w:r>
    </w:p>
    <w:p w14:paraId="36C61047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关于职业院校教师创新团队建设研究</w:t>
      </w:r>
    </w:p>
    <w:p w14:paraId="676B4444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关于系统推进专业、课程、教材、教师、实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训改革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的研究</w:t>
      </w:r>
    </w:p>
    <w:p w14:paraId="1926C1B1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关于职业学校专业实践教学基地实践研究</w:t>
      </w:r>
    </w:p>
    <w:p w14:paraId="7EE166BC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关于职业教育现场工程师专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项培养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282F266C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关于职业学校融入区域创新发展研究</w:t>
      </w:r>
    </w:p>
    <w:p w14:paraId="33E1B4E8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关于职业学校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岗课赛证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综合育人实践研究</w:t>
      </w:r>
    </w:p>
    <w:p w14:paraId="74E6008B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sz w:val="32"/>
          <w:szCs w:val="32"/>
        </w:rPr>
        <w:t>关于高等学历继续教育专业优化研究</w:t>
      </w:r>
    </w:p>
    <w:p w14:paraId="36AFD3A6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sz w:val="32"/>
          <w:szCs w:val="32"/>
        </w:rPr>
        <w:t>关于提升社区教育服务水平研究</w:t>
      </w:r>
    </w:p>
    <w:p w14:paraId="12576A96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sz w:val="32"/>
          <w:szCs w:val="32"/>
        </w:rPr>
        <w:t>关于终身教育学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分银行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应用实践研究</w:t>
      </w:r>
    </w:p>
    <w:p w14:paraId="3EA0C9D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sz w:val="32"/>
          <w:szCs w:val="32"/>
        </w:rPr>
        <w:t>关于本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</w:t>
      </w:r>
      <w:r>
        <w:rPr>
          <w:rFonts w:ascii="Times New Roman" w:eastAsia="仿宋_GB2312" w:hAnsi="Times New Roman" w:cs="Times New Roman"/>
          <w:sz w:val="32"/>
          <w:szCs w:val="32"/>
        </w:rPr>
        <w:t>层次职业教育人才培养研究</w:t>
      </w:r>
    </w:p>
    <w:p w14:paraId="396B4226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服务雄安新区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职业教育发展的研究</w:t>
      </w:r>
    </w:p>
    <w:p w14:paraId="62D582DF" w14:textId="77777777" w:rsidR="005319D1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四、高等教育</w:t>
      </w:r>
    </w:p>
    <w:p w14:paraId="340A8166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关于习近平总书记高等教育发展论述的天津实践研究</w:t>
      </w:r>
    </w:p>
    <w:p w14:paraId="1212FE79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关于后疫情时代统筹大学校园开放与安全管理研究</w:t>
      </w:r>
    </w:p>
    <w:p w14:paraId="7DB92851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关于“双一流”背景下“四新”学科专业建设研究</w:t>
      </w:r>
    </w:p>
    <w:p w14:paraId="434CACC1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卓越工程师学院建设的研究</w:t>
      </w:r>
    </w:p>
    <w:p w14:paraId="6F8C2F5E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</w:t>
      </w:r>
      <w:r>
        <w:rPr>
          <w:rFonts w:ascii="Times New Roman" w:eastAsia="仿宋_GB2312" w:hAnsi="Times New Roman" w:cs="Times New Roman"/>
          <w:sz w:val="32"/>
          <w:szCs w:val="32"/>
        </w:rPr>
        <w:t>理工农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类紧缺人才培养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70021F62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推进新工科建设、</w:t>
      </w:r>
      <w:r>
        <w:rPr>
          <w:rFonts w:ascii="Times New Roman" w:eastAsia="仿宋_GB2312" w:hAnsi="Times New Roman" w:cs="Times New Roman"/>
          <w:sz w:val="32"/>
          <w:szCs w:val="32"/>
        </w:rPr>
        <w:t>多学科交叉融合培养人才研究</w:t>
      </w:r>
    </w:p>
    <w:p w14:paraId="1C7AE4B8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关于完善本科专业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类设置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与调整机制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31A532E6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关于构建高校哲学社会科学领域自主知识体系研究</w:t>
      </w:r>
    </w:p>
    <w:p w14:paraId="299E630B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关于高校基础学科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拔尖创新</w:t>
      </w:r>
      <w:r>
        <w:rPr>
          <w:rFonts w:ascii="Times New Roman" w:eastAsia="仿宋_GB2312" w:hAnsi="Times New Roman" w:cs="Times New Roman"/>
          <w:sz w:val="32"/>
          <w:szCs w:val="32"/>
        </w:rPr>
        <w:t>人才培养路径研究</w:t>
      </w:r>
    </w:p>
    <w:p w14:paraId="3C4A6D65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关于高校服务支撑新质生产力发展的研究</w:t>
      </w:r>
    </w:p>
    <w:p w14:paraId="0E5391B6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sz w:val="32"/>
          <w:szCs w:val="32"/>
        </w:rPr>
        <w:t>关于高校服务天开高教科技园高质量发展研究</w:t>
      </w:r>
    </w:p>
    <w:p w14:paraId="3709BAAD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sz w:val="32"/>
          <w:szCs w:val="32"/>
        </w:rPr>
        <w:t>关于高校科技成果转移转化体系优化研究</w:t>
      </w:r>
    </w:p>
    <w:p w14:paraId="0B4B443C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sz w:val="32"/>
          <w:szCs w:val="32"/>
        </w:rPr>
        <w:t>关于普通高校产教融合型专业建设研究</w:t>
      </w:r>
    </w:p>
    <w:p w14:paraId="61856CEA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sz w:val="32"/>
          <w:szCs w:val="32"/>
        </w:rPr>
        <w:t>关于招生、培养与就业联动工作机制研究</w:t>
      </w:r>
    </w:p>
    <w:p w14:paraId="56B032E9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sz w:val="32"/>
          <w:szCs w:val="32"/>
        </w:rPr>
        <w:t>关于引导大学生毕业留津发展研究</w:t>
      </w:r>
    </w:p>
    <w:p w14:paraId="409DEFAF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完善就业监测与评价反馈机制的研究</w:t>
      </w:r>
    </w:p>
    <w:p w14:paraId="0600DAA7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sz w:val="32"/>
          <w:szCs w:val="32"/>
        </w:rPr>
        <w:t>关于民办高等教育发展对策研究</w:t>
      </w:r>
    </w:p>
    <w:p w14:paraId="69D0F67B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关于“破五唯”背景下高校教师分类评价的实践研究</w:t>
      </w:r>
    </w:p>
    <w:p w14:paraId="108CC745" w14:textId="77777777" w:rsidR="005319D1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关于新形势下推动</w:t>
      </w:r>
      <w:r>
        <w:rPr>
          <w:rFonts w:ascii="Times New Roman" w:eastAsia="仿宋_GB2312" w:hAnsi="Times New Roman" w:cs="Times New Roman"/>
          <w:sz w:val="32"/>
          <w:szCs w:val="32"/>
        </w:rPr>
        <w:t>中外合作办学高质量发展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研究</w:t>
      </w:r>
    </w:p>
    <w:p w14:paraId="03C55BD7" w14:textId="77777777" w:rsidR="005319D1" w:rsidRDefault="005319D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319D1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A9FE3" w14:textId="77777777" w:rsidR="00396E9B" w:rsidRDefault="00396E9B" w:rsidP="006F7457">
      <w:r>
        <w:separator/>
      </w:r>
    </w:p>
  </w:endnote>
  <w:endnote w:type="continuationSeparator" w:id="0">
    <w:p w14:paraId="36585922" w14:textId="77777777" w:rsidR="00396E9B" w:rsidRDefault="00396E9B" w:rsidP="006F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44A7502-85DC-4DBB-9B1E-0FD4426E20E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1B2D9E-957E-4B23-9FE4-20C3A7EC0BC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A64FBD5-D605-4D27-9EAA-9DA4E4A9F9E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F9F98" w14:textId="77777777" w:rsidR="00396E9B" w:rsidRDefault="00396E9B" w:rsidP="006F7457">
      <w:r>
        <w:separator/>
      </w:r>
    </w:p>
  </w:footnote>
  <w:footnote w:type="continuationSeparator" w:id="0">
    <w:p w14:paraId="24ECC7B6" w14:textId="77777777" w:rsidR="00396E9B" w:rsidRDefault="00396E9B" w:rsidP="006F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3OTJkZDM5Yjg0YjA2YjVlNmY4NDUzMTVjNDNiMTMifQ=="/>
  </w:docVars>
  <w:rsids>
    <w:rsidRoot w:val="005319D1"/>
    <w:rsid w:val="00396E9B"/>
    <w:rsid w:val="005319D1"/>
    <w:rsid w:val="006F7457"/>
    <w:rsid w:val="08BE6CDD"/>
    <w:rsid w:val="0DE05B9A"/>
    <w:rsid w:val="17250FE4"/>
    <w:rsid w:val="186A40C3"/>
    <w:rsid w:val="1BC60F09"/>
    <w:rsid w:val="1F7E58E3"/>
    <w:rsid w:val="22D1722D"/>
    <w:rsid w:val="2829096F"/>
    <w:rsid w:val="2D1265F1"/>
    <w:rsid w:val="36F31B8C"/>
    <w:rsid w:val="38AF3917"/>
    <w:rsid w:val="421B6D67"/>
    <w:rsid w:val="46880AA9"/>
    <w:rsid w:val="473F70CB"/>
    <w:rsid w:val="47BD7F73"/>
    <w:rsid w:val="4BB718E3"/>
    <w:rsid w:val="4C692341"/>
    <w:rsid w:val="507033FD"/>
    <w:rsid w:val="511A0DD1"/>
    <w:rsid w:val="512A09D3"/>
    <w:rsid w:val="58EF6F2D"/>
    <w:rsid w:val="5EC64062"/>
    <w:rsid w:val="5EDA285E"/>
    <w:rsid w:val="60D22077"/>
    <w:rsid w:val="64C518CF"/>
    <w:rsid w:val="6CC96F77"/>
    <w:rsid w:val="7912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7F275"/>
  <w15:docId w15:val="{16DE670A-9173-4161-8687-807575BD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4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7457"/>
    <w:rPr>
      <w:kern w:val="2"/>
      <w:sz w:val="18"/>
      <w:szCs w:val="18"/>
    </w:rPr>
  </w:style>
  <w:style w:type="paragraph" w:styleId="a5">
    <w:name w:val="footer"/>
    <w:basedOn w:val="a"/>
    <w:link w:val="a6"/>
    <w:rsid w:val="006F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74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PC</cp:lastModifiedBy>
  <cp:revision>2</cp:revision>
  <dcterms:created xsi:type="dcterms:W3CDTF">2024-02-22T07:02:00Z</dcterms:created>
  <dcterms:modified xsi:type="dcterms:W3CDTF">2024-03-25T02:51:00Z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F77E60ED45D9466E8EDA5A08F31A678C_13</vt:lpwstr>
  </property>
</Properties>
</file>